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74FA4" w14:textId="77777777" w:rsidR="00E12083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Funnel diagram</w:t>
      </w:r>
    </w:p>
    <w:p w14:paraId="05C73D91" w14:textId="77777777" w:rsidR="00E12083" w:rsidRDefault="0000000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  <w:noProof/>
        </w:rPr>
        <w:drawing>
          <wp:inline distT="0" distB="0" distL="114300" distR="114300" wp14:anchorId="5468C99F" wp14:editId="530BCA47">
            <wp:extent cx="2907030" cy="2907030"/>
            <wp:effectExtent l="0" t="0" r="1270" b="1270"/>
            <wp:docPr id="1" name="图片 1" descr="生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生理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07030" cy="290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1A83C" w14:textId="113359C6" w:rsidR="00E12083" w:rsidRDefault="00000000">
      <w:pPr>
        <w:pStyle w:val="Caption"/>
        <w:spacing w:line="360" w:lineRule="auto"/>
        <w:jc w:val="center"/>
        <w:rPr>
          <w:rFonts w:ascii="Times New Roman" w:eastAsiaTheme="minorEastAsia" w:hAnsi="Times New Roman" w:cs="Times New Roman"/>
          <w:b/>
          <w:bCs/>
          <w:sz w:val="21"/>
        </w:rPr>
      </w:pPr>
      <w:r>
        <w:rPr>
          <w:rFonts w:ascii="Times New Roman" w:eastAsiaTheme="minorEastAsia" w:hAnsi="Times New Roman" w:cs="Times New Roman"/>
          <w:b/>
          <w:bCs/>
          <w:sz w:val="21"/>
        </w:rPr>
        <w:t>Fig.</w:t>
      </w:r>
      <w:r w:rsidR="00572FCF">
        <w:rPr>
          <w:rFonts w:ascii="Times New Roman" w:eastAsiaTheme="minorEastAsia" w:hAnsi="Times New Roman" w:cs="Times New Roman" w:hint="eastAsia"/>
          <w:b/>
          <w:bCs/>
          <w:sz w:val="21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1"/>
        </w:rPr>
        <w:t>S</w:t>
      </w:r>
      <w:r>
        <w:rPr>
          <w:rFonts w:ascii="Times New Roman" w:eastAsiaTheme="minorEastAsia" w:hAnsi="Times New Roman" w:cs="Times New Roman"/>
          <w:b/>
          <w:bCs/>
          <w:sz w:val="21"/>
        </w:rPr>
        <w:fldChar w:fldCharType="begin"/>
      </w:r>
      <w:r>
        <w:rPr>
          <w:rFonts w:ascii="Times New Roman" w:eastAsiaTheme="minorEastAsia" w:hAnsi="Times New Roman" w:cs="Times New Roman"/>
          <w:b/>
          <w:bCs/>
          <w:sz w:val="21"/>
        </w:rPr>
        <w:instrText xml:space="preserve"> SEQ Fig.S \* ARABIC </w:instrText>
      </w:r>
      <w:r>
        <w:rPr>
          <w:rFonts w:ascii="Times New Roman" w:eastAsiaTheme="minorEastAsia" w:hAnsi="Times New Roman" w:cs="Times New Roman"/>
          <w:b/>
          <w:bCs/>
          <w:sz w:val="21"/>
        </w:rPr>
        <w:fldChar w:fldCharType="separate"/>
      </w:r>
      <w:r>
        <w:rPr>
          <w:rFonts w:ascii="Times New Roman" w:eastAsiaTheme="minorEastAsia" w:hAnsi="Times New Roman" w:cs="Times New Roman"/>
          <w:b/>
          <w:bCs/>
          <w:sz w:val="21"/>
        </w:rPr>
        <w:t>1</w:t>
      </w:r>
      <w:r>
        <w:rPr>
          <w:rFonts w:ascii="Times New Roman" w:eastAsiaTheme="minorEastAsia" w:hAnsi="Times New Roman" w:cs="Times New Roman"/>
          <w:b/>
          <w:bCs/>
          <w:sz w:val="21"/>
        </w:rPr>
        <w:fldChar w:fldCharType="end"/>
      </w:r>
      <w:r>
        <w:rPr>
          <w:rFonts w:ascii="Times New Roman" w:eastAsiaTheme="minorEastAsia" w:hAnsi="Times New Roman" w:cs="Times New Roman" w:hint="eastAsia"/>
          <w:b/>
          <w:bCs/>
          <w:sz w:val="21"/>
        </w:rPr>
        <w:t xml:space="preserve"> </w:t>
      </w:r>
      <w:r>
        <w:rPr>
          <w:rFonts w:ascii="Times New Roman" w:hAnsi="Times New Roman" w:cs="Times New Roman"/>
        </w:rPr>
        <w:t>Funnel plot o</w:t>
      </w:r>
      <w:r>
        <w:rPr>
          <w:rFonts w:ascii="Times New Roman" w:hAnsi="Times New Roman" w:cs="Times New Roman" w:hint="eastAsia"/>
        </w:rPr>
        <w:t>f physiological indicators</w:t>
      </w:r>
    </w:p>
    <w:p w14:paraId="39EFE75B" w14:textId="77777777" w:rsidR="00E12083" w:rsidRDefault="0000000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114300" distR="114300" wp14:anchorId="065BE6C1" wp14:editId="0EB02F3E">
            <wp:extent cx="3242310" cy="3088005"/>
            <wp:effectExtent l="0" t="0" r="8890" b="10795"/>
            <wp:docPr id="2" name="图片 2" descr="杂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杂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42310" cy="308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B5491" w14:textId="7A07C2B7" w:rsidR="00E12083" w:rsidRDefault="00000000">
      <w:pPr>
        <w:pStyle w:val="Caption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Theme="minorEastAsia" w:hAnsi="Times New Roman" w:cs="Times New Roman"/>
          <w:b/>
          <w:bCs/>
          <w:sz w:val="21"/>
        </w:rPr>
        <w:t>Fig.</w:t>
      </w:r>
      <w:r w:rsidR="00572FCF">
        <w:rPr>
          <w:rFonts w:ascii="Times New Roman" w:eastAsiaTheme="minorEastAsia" w:hAnsi="Times New Roman" w:cs="Times New Roman" w:hint="eastAsia"/>
          <w:b/>
          <w:bCs/>
          <w:sz w:val="21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1"/>
        </w:rPr>
        <w:t>S</w:t>
      </w:r>
      <w:r>
        <w:rPr>
          <w:rFonts w:ascii="Times New Roman" w:eastAsiaTheme="minorEastAsia" w:hAnsi="Times New Roman" w:cs="Times New Roman"/>
          <w:b/>
          <w:bCs/>
          <w:sz w:val="21"/>
        </w:rPr>
        <w:fldChar w:fldCharType="begin"/>
      </w:r>
      <w:r>
        <w:rPr>
          <w:rFonts w:ascii="Times New Roman" w:eastAsiaTheme="minorEastAsia" w:hAnsi="Times New Roman" w:cs="Times New Roman"/>
          <w:b/>
          <w:bCs/>
          <w:sz w:val="21"/>
        </w:rPr>
        <w:instrText xml:space="preserve"> SEQ Fig.S \* ARABIC </w:instrText>
      </w:r>
      <w:r>
        <w:rPr>
          <w:rFonts w:ascii="Times New Roman" w:eastAsiaTheme="minorEastAsia" w:hAnsi="Times New Roman" w:cs="Times New Roman"/>
          <w:b/>
          <w:bCs/>
          <w:sz w:val="21"/>
        </w:rPr>
        <w:fldChar w:fldCharType="separate"/>
      </w:r>
      <w:r>
        <w:rPr>
          <w:rFonts w:ascii="Times New Roman" w:eastAsiaTheme="minorEastAsia" w:hAnsi="Times New Roman" w:cs="Times New Roman"/>
          <w:b/>
          <w:bCs/>
          <w:sz w:val="21"/>
        </w:rPr>
        <w:t>2</w:t>
      </w:r>
      <w:r>
        <w:rPr>
          <w:rFonts w:ascii="Times New Roman" w:eastAsiaTheme="minorEastAsia" w:hAnsi="Times New Roman" w:cs="Times New Roman"/>
          <w:b/>
          <w:bCs/>
          <w:sz w:val="21"/>
        </w:rPr>
        <w:fldChar w:fldCharType="end"/>
      </w:r>
      <w:r>
        <w:rPr>
          <w:rFonts w:hint="eastAsia"/>
        </w:rPr>
        <w:t xml:space="preserve"> </w:t>
      </w:r>
      <w:r>
        <w:rPr>
          <w:rFonts w:ascii="Times New Roman" w:hAnsi="Times New Roman" w:cs="Times New Roman"/>
        </w:rPr>
        <w:t>Funnel plot o</w:t>
      </w:r>
      <w:r>
        <w:rPr>
          <w:rFonts w:ascii="Times New Roman" w:hAnsi="Times New Roman" w:cs="Times New Roman" w:hint="eastAsia"/>
        </w:rPr>
        <w:t>f weed control</w:t>
      </w:r>
    </w:p>
    <w:p w14:paraId="53381597" w14:textId="3A6FF000" w:rsidR="00E12083" w:rsidRDefault="00860631">
      <w:pPr>
        <w:spacing w:line="360" w:lineRule="auto"/>
        <w:rPr>
          <w:rFonts w:ascii="Times New Roman" w:hAnsi="Times New Roman" w:cs="Times New Roman"/>
          <w:b/>
          <w:bCs/>
          <w:highlight w:val="yellow"/>
        </w:rPr>
      </w:pPr>
      <w:r w:rsidRPr="00860631">
        <w:rPr>
          <w:rFonts w:ascii="Times New Roman" w:hAnsi="Times New Roman" w:cs="Times New Roman"/>
          <w:b/>
          <w:bCs/>
        </w:rPr>
        <w:t>Supplementary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="00000000">
        <w:rPr>
          <w:rFonts w:ascii="Times New Roman" w:hAnsi="Times New Roman" w:cs="Times New Roman"/>
          <w:b/>
          <w:bCs/>
        </w:rPr>
        <w:t>Dataset</w:t>
      </w:r>
      <w:r w:rsidR="00000000">
        <w:rPr>
          <w:rFonts w:ascii="Times New Roman" w:hAnsi="Times New Roman" w:cs="Times New Roman" w:hint="eastAsia"/>
          <w:b/>
          <w:bCs/>
        </w:rPr>
        <w:t xml:space="preserve"> </w:t>
      </w:r>
      <w:r w:rsidR="00000000">
        <w:rPr>
          <w:rFonts w:ascii="Times New Roman" w:hAnsi="Times New Roman" w:cs="Times New Roman"/>
        </w:rPr>
        <w:t>(Complete reference list of all studies included in this meta‑analysis.)</w:t>
      </w:r>
    </w:p>
    <w:p w14:paraId="29A136AC" w14:textId="77777777" w:rsidR="00E12083" w:rsidRDefault="00000000">
      <w:pPr>
        <w:spacing w:line="360" w:lineRule="auto"/>
      </w:pPr>
      <w:r>
        <w:rPr>
          <w:rFonts w:ascii="Times New Roman" w:hAnsi="Times New Roman" w:cs="Times New Roman"/>
          <w:b/>
          <w:bCs/>
        </w:rPr>
        <w:t>Publications on weed control effectiveness</w:t>
      </w:r>
    </w:p>
    <w:p w14:paraId="28BB1EC8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Li, Q., Liu, Y. X., Yu, J. P., Zhang, W., Xu, Z. J., Yu, X. L., Zhao, M. Q., Xu, X. Y. (2018). Control effects of tembotrione·nicosulfuron·atrazine 29% OD against annual weeds and security in corn field. Pesticides, 57(11), 851–854. doi:10.16820/j.cnki.1006-0413.2018.11.021</w:t>
      </w:r>
    </w:p>
    <w:p w14:paraId="2D989E46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Fan, D. Y., Shi, W. H. (2015). Field efficacy trial of 30% nicosulfuron·mesotrione·atrazine suspension concentrate against weeds in maize fields. Liaoning Agricultural Sciences, (6), </w:t>
      </w:r>
      <w:r>
        <w:rPr>
          <w:rFonts w:ascii="Times New Roman" w:hAnsi="Times New Roman" w:cs="Times New Roman"/>
        </w:rPr>
        <w:lastRenderedPageBreak/>
        <w:t>74–75. doi:10.3969/j.issn.1002-1728.2015.06.020</w:t>
      </w:r>
    </w:p>
    <w:p w14:paraId="52FC9F12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Zhao, X. M. (2010). Trial on weed control of 75% nicosulfuron·bromoxynil octanoate water dispersible granules in spring maize fields. Heilongjiang Agricultural Sciences, (4), 91–92. doi:10.3969/j.issn.1002-2767.2010.04.026</w:t>
      </w:r>
    </w:p>
    <w:p w14:paraId="406F65DB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Shi, X. Q., Wang, F. R., Wang, J. J., Zhang, R. X., Fan, R. J. (2006). Control effect of 4% nicosulfuron SC to weed in maize field. Journal of Shanxi Agricultural Sciences, 34(4), 59–61.</w:t>
      </w:r>
    </w:p>
    <w:p w14:paraId="0CA3671E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Chen, D. S., Gong, G. B., Wang, Y. D., Zhu, W. Y. (2008). Research on the weed control efficacy and crop safety of 19% nicosulfuron·bromoxynil octanoate suspension concentrate in corn fields. Journal of Anhui Agricultural Sciences, 36(2), 617–618.</w:t>
      </w:r>
    </w:p>
    <w:p w14:paraId="73B7943B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Zhang, F. Y., Li, Q. D., Wang, G. C. (2008). Efficacy and safety evaluation of mixed application of nicosulfuron and atrazine against weeds in corn fields. Pesticide Science and Administration, 29(1).</w:t>
      </w:r>
    </w:p>
    <w:p w14:paraId="64BE8D53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Xi, X. M., Jiang, C., Che, X. F. (2009). Weed control efficacy of nicosulfuron·atrazine in spring maize fields. Weed Science, (1), 57. doi:10.19588/j.issn.1003-935x.2009.01.022</w:t>
      </w:r>
    </w:p>
    <w:p w14:paraId="7D408696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Wang, P. S., Sui, X. D., Wang, J. Q., Li, R. G., Cheng, X. (2008). Field efficacy trial of 24% mesotrione·nicosulfuron·atrazine suspension concentrate against weeds in maize fields. Pesticide Science and Administration, 29(8).</w:t>
      </w:r>
    </w:p>
    <w:p w14:paraId="2F7815BD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Song, L. H., Zhao, Y. B., Zhang, R. X. (2015). Weed control efficacy of halauxifen-methyl·nicosulfuron·atrazine in maize fields. China Plant Protection, 35(11).</w:t>
      </w:r>
    </w:p>
    <w:p w14:paraId="2CE6C735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Li, W. M., Tang, W. A., Gao, X. L., Yang, Y. Q., &amp; Guo, L. H. (2011). Field efficacy trial of 52% nicosulfuron·atrazine wettable powder against weeds in maize fields. Scientific Experiment, (10). doi:10.3969/j.issn.1000-8071.2011.10.012</w:t>
      </w:r>
    </w:p>
    <w:p w14:paraId="2C750409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Fan, J. B., Zhang, R. X., Gao, Y., Wang, Z., Du, E. Q., Li, G. Y., Fan, R. J. (2011). Control effect of nicosulfuron·atrazine WP in summer corn field. Journal of Shanxi Agricultural Sciences, 39(1), 57–60. doi:10.3969/j.issn.1002-2481.2011.01.15</w:t>
      </w:r>
    </w:p>
    <w:p w14:paraId="2028A78F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Fan, J. B., Li, G. Y., Lu, J. J., Gao, Y., Geng, Q., Liu, Z. F., Zhang, P. J., Yang, J., Zhang, R. X., Fan, R. J. (2018). Weed control efficacy of nicosulfuron·atrazine·tembotrione formulated mixture in maize fields. China Plant Protection, 38(10).</w:t>
      </w:r>
    </w:p>
    <w:p w14:paraId="52B0EE11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Gong, G. B., Wang, Y. D., &amp; Zhang, B. L. (2008). Field efficacy and crop safety trial of 23% nicosulfuron·atrazine suspension concentrate. Pesticide Science and Administration, 29(12).</w:t>
      </w:r>
    </w:p>
    <w:p w14:paraId="68A9E933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Jia, W. J., Jia, C. J., Meng, X. R., Zhou, X. C. (2007). Weed control efficacy of mixed application of nicosulfuron and atrazine in maize fields. Agricultural Technical Services, 24(12), 50–51</w:t>
      </w:r>
    </w:p>
    <w:p w14:paraId="5964405D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Liu, X. Z., Wang, S., Dong, H., Yang, H., Li, Y. (2006). Field trial report of 75% nicosulfuron wettable powder for weed control in maize fields. Agricultural Science and Technology Bulletin (Agricultural Network Information), (7).</w:t>
      </w:r>
    </w:p>
    <w:p w14:paraId="76060CC5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Jin, J. S., Wang, Y. P., Cheng, X. H., &amp; Gong, G. B. (2010). Effects of nicosulfuron 8% OF for the control of annual weeds in corn field. Pesticide Science and Administration, 31(2).</w:t>
      </w:r>
    </w:p>
    <w:p w14:paraId="6124CB5D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Jia, X., Wang, J. J., Yang, J. W., Li, Y. L., Zhao, B. P., Du, Y. C. (2020). Efficacy of 75% nicosulfuron methyl water dispersible granule in controlling weeds in corn field. Agricultural Technology &amp; Equipment, 361(1), 41–43. doi:10.3969/j.issn.1673-887X.2020.01.018</w:t>
      </w:r>
    </w:p>
    <w:p w14:paraId="5B9A9AE8" w14:textId="77777777" w:rsidR="00E12083" w:rsidRDefault="00000000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Song, W. F., Tao, B. (2015). The control effect of different herbicides on weed in corn field. Journal of Jilin Agricultural Sciences, 40(5), 68–70. </w:t>
      </w:r>
      <w:r>
        <w:rPr>
          <w:rFonts w:ascii="Times New Roman" w:hAnsi="Times New Roman" w:cs="Times New Roman"/>
        </w:rPr>
        <w:lastRenderedPageBreak/>
        <w:t>doi:10.16423/j.cnki.1003-8701.2015.05.017</w:t>
      </w:r>
    </w:p>
    <w:p w14:paraId="5535943E" w14:textId="77777777" w:rsidR="00E12083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Publications on physiological indicators</w:t>
      </w:r>
    </w:p>
    <w:p w14:paraId="0384DFD3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 B, Meng R, Wang Y, Xiong W, Ma Y, Gao P, Ren J, Zhang L, Zhao Z, Fan G, Wen Y and Yuan X (2024) Distinctive physiological and molecular responses of foxtail millet and maize to nicosulfuron. Front. Plant Sci. 14:1308584. doi: 10.3389/fpls.2023.1308584</w:t>
      </w:r>
    </w:p>
    <w:p w14:paraId="1B8B5834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Xu, N., Wu, Z. X., Li, X. L., Yang, M., Han, J. L., Lu, B., Lu, B. S., Wang, J. (2022). Effects of nicosulfuron on plant growth and sugar metabolism in sweet maize (Zea mays L.). PLoS One, 17(10), e0276606.</w:t>
      </w:r>
    </w:p>
    <w:p w14:paraId="4BC37F5B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Yang, M., Li, X. L., Han, J. L., Yang, Q., Wang, J. (2021). Effects of nicosulfuron stress on reactive oxygen species accumulation, antioxidant system and related gene expression in sweet maize seedlings. Journal of Nuclear Agricultural Sciences, 35(9), 2182–2193. doi:10.11869/j.issn.1000-8551.2021.09.2182</w:t>
      </w:r>
    </w:p>
    <w:p w14:paraId="25F9B64E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Shi, Z. S., Lin, J. S., Li, Z. W. (2012). Response difference of nicosulfuron on two pairs of sweet and wax maize near isogenic lines. Seed, 31(1), 18–22. doi:10.16590/j.cnki.1001-4705.2012.01.045</w:t>
      </w:r>
    </w:p>
    <w:p w14:paraId="77D3858E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Hu, H. J., Shi, Z. S., Lü, X. L., Yu, Y. J., Guo, J. L., Lü, Y. Y., &amp; Li, Z. W. (2014). Effect of herbicide nicosulfuron on photosynthesis traits and chlorophyll fluorescence parameters of wax maize. Journal of Maize Sciences, 22(3), 77–80.</w:t>
      </w:r>
    </w:p>
    <w:p w14:paraId="08B793C6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Wu, Z., Wang, J., Lin, X., Yang, Q., Wang, T., Chen, J., Li, X., Guan, Y., Lv, G. (2023). Nicosulfuron stress on the glyoxalase system and endogenous hormone content in sweet maize seedlings. Environmental Science and Pollution Research, 30(17), 49290-49300.</w:t>
      </w:r>
    </w:p>
    <w:p w14:paraId="05ACB7B9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Wang, J., Zhong, X. M., Lv, X. L., Shi, Z. S., &amp; Li, F. H. (2018). Photosynthesis and physiology responses of paired near-isogenic lines in waxy maize (</w:t>
      </w:r>
      <w:r>
        <w:rPr>
          <w:rFonts w:ascii="Times New Roman" w:hAnsi="Times New Roman" w:cs="Times New Roman"/>
          <w:i/>
          <w:iCs/>
        </w:rPr>
        <w:t>Zea mays</w:t>
      </w:r>
      <w:r>
        <w:rPr>
          <w:rFonts w:ascii="Times New Roman" w:hAnsi="Times New Roman" w:cs="Times New Roman"/>
        </w:rPr>
        <w:t xml:space="preserve"> L.) to nicosulfuron. Photosynthetica, 56(4), 1059-1068.</w:t>
      </w:r>
    </w:p>
    <w:p w14:paraId="4E10EECD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Wang, J., Zhong, X., Zhu, K., Lv, J., Lv, X., Li, F., Shi, Z. (2018). Reactive oxygen species, antioxidant enzyme activity, and gene expression patterns in a pair of nearly isogenic lines of nicosulfuron-exposed waxy maize (</w:t>
      </w:r>
      <w:r>
        <w:rPr>
          <w:rFonts w:ascii="Times New Roman" w:hAnsi="Times New Roman" w:cs="Times New Roman"/>
          <w:i/>
          <w:iCs/>
        </w:rPr>
        <w:t>Zea mays</w:t>
      </w:r>
      <w:r>
        <w:rPr>
          <w:rFonts w:ascii="Times New Roman" w:hAnsi="Times New Roman" w:cs="Times New Roman"/>
        </w:rPr>
        <w:t xml:space="preserve"> L.). Environmental Science and Pollution Research, 25(19), 19012-19027.</w:t>
      </w:r>
    </w:p>
    <w:p w14:paraId="7AA609F5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Wang, J., Zhong, X., Li, F., Shi, Z. (2018). Effects of nicosulfuron on growth, oxidative damage, and the ascorbate-glutathione pathway in paired nearly isogenic lines of waxy maize (</w:t>
      </w:r>
      <w:r>
        <w:rPr>
          <w:rFonts w:ascii="Times New Roman" w:hAnsi="Times New Roman" w:cs="Times New Roman"/>
          <w:i/>
          <w:iCs/>
        </w:rPr>
        <w:t>Zea mays</w:t>
      </w:r>
      <w:r>
        <w:rPr>
          <w:rFonts w:ascii="Times New Roman" w:hAnsi="Times New Roman" w:cs="Times New Roman"/>
        </w:rPr>
        <w:t xml:space="preserve"> L.). Pesticide Biochemistry and Physiology, 145, 108-117.</w:t>
      </w:r>
    </w:p>
    <w:p w14:paraId="4ED8F3E3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Wang, J., Fan, Y., Liang, L., Dong, Z., Li, M., Wu, Z., Lin, X., Wang, X., Zhen, Z. (2024). GO promotes detoxification of nicosulfuron in sweet corn by enhancing photosynthesis, chlorophyll fluorescence parameters, and antioxidant enzyme activity. Scientific Reports, 14(1), 21213.</w:t>
      </w:r>
    </w:p>
    <w:p w14:paraId="74113D47" w14:textId="77777777" w:rsidR="00E12083" w:rsidRDefault="00000000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Meng, Y. Y. (2022). Physiological mechanism of sweet maize tolerance to nicosulfuron (Master’s thesis). Hebei Normal University of Science and Technology. doi:10.27741/d.cnki.ghbklj.2022.000014</w:t>
      </w:r>
    </w:p>
    <w:sectPr w:rsidR="00E12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360866D"/>
    <w:multiLevelType w:val="singleLevel"/>
    <w:tmpl w:val="E360866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5F0A1678"/>
    <w:multiLevelType w:val="singleLevel"/>
    <w:tmpl w:val="5F0A16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1288122925">
    <w:abstractNumId w:val="0"/>
  </w:num>
  <w:num w:numId="2" w16cid:durableId="2022121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083"/>
    <w:rsid w:val="00572FCF"/>
    <w:rsid w:val="00803E0D"/>
    <w:rsid w:val="00860631"/>
    <w:rsid w:val="00931F03"/>
    <w:rsid w:val="00E12083"/>
    <w:rsid w:val="13963C5C"/>
    <w:rsid w:val="1E2B039E"/>
    <w:rsid w:val="291C2129"/>
    <w:rsid w:val="317D00BB"/>
    <w:rsid w:val="3E88226F"/>
    <w:rsid w:val="471F2A32"/>
    <w:rsid w:val="475E5FB5"/>
    <w:rsid w:val="48E71DEC"/>
    <w:rsid w:val="4B3933A3"/>
    <w:rsid w:val="520E0886"/>
    <w:rsid w:val="52FC4B82"/>
    <w:rsid w:val="5F2342FF"/>
    <w:rsid w:val="616164EC"/>
    <w:rsid w:val="67FB3A9D"/>
    <w:rsid w:val="7EBC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B3CA18"/>
  <w15:docId w15:val="{DEE1CE37-CCEF-4686-9095-3D4195B38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/>
      <w:sz w:val="20"/>
    </w:rPr>
  </w:style>
  <w:style w:type="paragraph" w:styleId="CommentText">
    <w:name w:val="annotation text"/>
    <w:basedOn w:val="Normal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1038</Words>
  <Characters>5921</Characters>
  <Application>Microsoft Office Word</Application>
  <DocSecurity>0</DocSecurity>
  <Lines>49</Lines>
  <Paragraphs>13</Paragraphs>
  <ScaleCrop>false</ScaleCrop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Tech Science Press</cp:lastModifiedBy>
  <cp:revision>3</cp:revision>
  <dcterms:created xsi:type="dcterms:W3CDTF">2026-07-07T01:06:00Z</dcterms:created>
  <dcterms:modified xsi:type="dcterms:W3CDTF">2026-08-06T08:05:00Z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eyJoZGlkIjoiZGFkMGM4NzgxYzU2MGJjMTMwYWFhNDc2ZTU5OGNmYjQiLCJ1c2VySWQiOiI3MTE0NzMwMjAifQ==</vt:lpwstr>
  </property>
  <property fmtid="{D5CDD505-2E9C-101B-9397-08002B2CF9AE}" pid="4" name="ICV">
    <vt:lpwstr>E3EAA0E81D214067A390662B6F80034F_13</vt:lpwstr>
  </property>
</Properties>
</file>